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SC CODE 932 SRL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Iași, Aleea Petre Buzatov, 11A, Nr.56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J22/2579/2006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RO 19121100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RAPORT PRESTARE SERVICII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i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Aferent facturii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din data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Aferent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ontractului nr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IEST/SD20/IN-1024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din data de din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26.06.2020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SC CODE 932 SRL în calitate de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prestator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și 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SC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Iulius Real Estate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SRL în calitate de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beneficiar,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confirmăm executarea serviciilor conform Contractului nr.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IEST/SD20/IN-1024 din data de din 26.06.2020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pentru: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80"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Monitorizarea serverelor, a serviciilor active, alarmarea si intervenția rapidă asupra avariilor;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Update-ul si mentenanta necesara serverelor pentru fiecare dintre proiectele gazduite;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Mentenanta si licentierea de servicii SSL pentru securitatea website-urilor gazduite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Monitorizarea serviciilor, alarmare și intervenție rapidă asupra platformelor de management a aplicațiilor mobile;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80" w:before="0" w:beforeAutospacing="0"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Dezvoltarea de noi functionalitati pentru proiectele Beneficiarului sau proiecte noi(website-uri, aplicații, alte proiecte IT).</w:t>
      </w:r>
    </w:p>
    <w:p w:rsidR="00000000" w:rsidDel="00000000" w:rsidP="00000000" w:rsidRDefault="00000000" w:rsidRPr="00000000" w14:paraId="00000016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4.0" w:type="dxa"/>
        <w:jc w:val="left"/>
        <w:tblInd w:w="0.0" w:type="dxa"/>
        <w:tblLayout w:type="fixed"/>
        <w:tblLook w:val="0000"/>
      </w:tblPr>
      <w:tblGrid>
        <w:gridCol w:w="4332"/>
        <w:gridCol w:w="4332"/>
        <w:tblGridChange w:id="0">
          <w:tblGrid>
            <w:gridCol w:w="4332"/>
            <w:gridCol w:w="4332"/>
          </w:tblGrid>
        </w:tblGridChange>
      </w:tblGrid>
      <w:tr>
        <w:trPr>
          <w:trHeight w:val="410" w:hRule="atLeast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Prestator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Beneficiar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5" w:hRule="atLeast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 CODE 932 SRL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 Iulius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Real Estate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SRL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9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0" hidden="0" layoutInCell="1" locked="0" relativeHeight="0" simplePos="0">
          <wp:simplePos x="0" y="0"/>
          <wp:positionH relativeFrom="column">
            <wp:posOffset>-342897</wp:posOffset>
          </wp:positionH>
          <wp:positionV relativeFrom="paragraph">
            <wp:posOffset>0</wp:posOffset>
          </wp:positionV>
          <wp:extent cx="6696075" cy="43561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6075" cy="435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xmYRavGIybA9qpfHdDjBW9ZNNg==">AMUW2mUQEKJUV6u65+r40XBB53Cc9iPjcsWKiESwU8PSwopLuoULp0Zgn6tSiQaRqOavm4M/A2YkBsuGcRULBg01Thd9wR4IqExnRWp8+X9/QY4lJLLYRLg=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2017-11-29T11:02:00Z</dcterms:created>
  <dc:creator>bnedin</dc:creator>
</cp:coreProperties>
</file>